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F9E81" w14:textId="5460EBE3" w:rsidR="00846A72" w:rsidRDefault="007D0CFF" w:rsidP="00846A72">
      <w:pPr>
        <w:spacing w:line="0" w:lineRule="atLeast"/>
        <w:rPr>
          <w:b/>
          <w:sz w:val="22"/>
        </w:rPr>
      </w:pPr>
      <w:r>
        <w:rPr>
          <w:b/>
          <w:noProof/>
          <w:sz w:val="22"/>
        </w:rPr>
        <w:drawing>
          <wp:anchor distT="0" distB="0" distL="114300" distR="114300" simplePos="0" relativeHeight="251658752" behindDoc="0" locked="0" layoutInCell="1" allowOverlap="1" wp14:anchorId="71088192" wp14:editId="26716B4C">
            <wp:simplePos x="0" y="0"/>
            <wp:positionH relativeFrom="margin">
              <wp:align>left</wp:align>
            </wp:positionH>
            <wp:positionV relativeFrom="paragraph">
              <wp:posOffset>-154305</wp:posOffset>
            </wp:positionV>
            <wp:extent cx="1647825" cy="647700"/>
            <wp:effectExtent l="0" t="0" r="9525" b="0"/>
            <wp:wrapNone/>
            <wp:docPr id="17341345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D1AF6" w14:textId="5B760738" w:rsidR="00846A72" w:rsidRDefault="00846A72" w:rsidP="00846A72">
      <w:pPr>
        <w:spacing w:line="0" w:lineRule="atLeast"/>
        <w:rPr>
          <w:b/>
          <w:sz w:val="22"/>
        </w:rPr>
      </w:pPr>
    </w:p>
    <w:p w14:paraId="5001B034" w14:textId="68650341" w:rsidR="00846A72" w:rsidRDefault="00846A72" w:rsidP="00846A72">
      <w:pPr>
        <w:spacing w:line="0" w:lineRule="atLeast"/>
        <w:rPr>
          <w:b/>
          <w:sz w:val="22"/>
        </w:rPr>
      </w:pPr>
      <w:r w:rsidRPr="00846A72">
        <w:rPr>
          <w:noProof/>
        </w:rPr>
        <w:drawing>
          <wp:inline distT="0" distB="0" distL="0" distR="0" wp14:anchorId="3EF8E337" wp14:editId="56D9160C">
            <wp:extent cx="59436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00025"/>
                    </a:xfrm>
                    <a:prstGeom prst="rect">
                      <a:avLst/>
                    </a:prstGeom>
                    <a:noFill/>
                    <a:ln>
                      <a:noFill/>
                    </a:ln>
                  </pic:spPr>
                </pic:pic>
              </a:graphicData>
            </a:graphic>
          </wp:inline>
        </w:drawing>
      </w:r>
    </w:p>
    <w:p w14:paraId="472979D4" w14:textId="480EC4FB" w:rsidR="00846A72" w:rsidRDefault="00846A72" w:rsidP="00846A72">
      <w:pPr>
        <w:spacing w:line="0" w:lineRule="atLeast"/>
        <w:rPr>
          <w:b/>
          <w:sz w:val="22"/>
        </w:rPr>
      </w:pPr>
    </w:p>
    <w:p w14:paraId="5DEFF369" w14:textId="79A7B6EF" w:rsidR="00846A72" w:rsidRDefault="007D0CFF" w:rsidP="00846A72">
      <w:pPr>
        <w:spacing w:line="0" w:lineRule="atLeast"/>
        <w:rPr>
          <w:b/>
          <w:sz w:val="22"/>
        </w:rPr>
      </w:pPr>
      <w:r>
        <w:rPr>
          <w:b/>
          <w:noProof/>
          <w:sz w:val="22"/>
        </w:rPr>
        <w:drawing>
          <wp:anchor distT="0" distB="0" distL="114300" distR="114300" simplePos="0" relativeHeight="251657728" behindDoc="0" locked="0" layoutInCell="1" allowOverlap="1" wp14:anchorId="5A6BF746" wp14:editId="78F692FA">
            <wp:simplePos x="0" y="0"/>
            <wp:positionH relativeFrom="column">
              <wp:posOffset>9525</wp:posOffset>
            </wp:positionH>
            <wp:positionV relativeFrom="paragraph">
              <wp:posOffset>10160</wp:posOffset>
            </wp:positionV>
            <wp:extent cx="1381125" cy="371475"/>
            <wp:effectExtent l="0" t="0" r="9525" b="9525"/>
            <wp:wrapNone/>
            <wp:docPr id="2119846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8AEF3" w14:textId="77777777" w:rsidR="007D0CFF" w:rsidRDefault="007D0CFF" w:rsidP="00846A72">
      <w:pPr>
        <w:spacing w:line="0" w:lineRule="atLeast"/>
        <w:rPr>
          <w:b/>
          <w:sz w:val="22"/>
        </w:rPr>
      </w:pPr>
    </w:p>
    <w:p w14:paraId="772EAB5E" w14:textId="77777777" w:rsidR="007D0CFF" w:rsidRDefault="007D0CFF" w:rsidP="00846A72">
      <w:pPr>
        <w:spacing w:line="0" w:lineRule="atLeast"/>
        <w:rPr>
          <w:b/>
          <w:sz w:val="22"/>
        </w:rPr>
      </w:pPr>
    </w:p>
    <w:p w14:paraId="15C81311" w14:textId="77777777" w:rsidR="007D0CFF" w:rsidRDefault="007D0CFF" w:rsidP="00846A72">
      <w:pPr>
        <w:spacing w:line="0" w:lineRule="atLeast"/>
        <w:rPr>
          <w:b/>
          <w:sz w:val="22"/>
        </w:rPr>
      </w:pPr>
    </w:p>
    <w:p w14:paraId="312D3A93" w14:textId="2148CFDD" w:rsidR="007D0CFF" w:rsidRDefault="007D0CFF" w:rsidP="00846A72">
      <w:pPr>
        <w:spacing w:line="0" w:lineRule="atLeast"/>
        <w:rPr>
          <w:b/>
          <w:sz w:val="22"/>
        </w:rPr>
      </w:pPr>
    </w:p>
    <w:p w14:paraId="65F5F750" w14:textId="77777777" w:rsidR="007D0CFF" w:rsidRDefault="007D0CFF" w:rsidP="00846A72">
      <w:pPr>
        <w:spacing w:line="0" w:lineRule="atLeast"/>
        <w:rPr>
          <w:b/>
          <w:sz w:val="22"/>
        </w:rPr>
      </w:pPr>
    </w:p>
    <w:p w14:paraId="489282CB" w14:textId="1D338E8A" w:rsidR="00846A72" w:rsidRDefault="00846A72" w:rsidP="00846A72">
      <w:pPr>
        <w:spacing w:line="0" w:lineRule="atLeast"/>
        <w:rPr>
          <w:b/>
          <w:sz w:val="22"/>
        </w:rPr>
      </w:pPr>
      <w:r>
        <w:rPr>
          <w:b/>
          <w:sz w:val="22"/>
        </w:rPr>
        <w:t>Ref.: Fairs with transport 2024</w:t>
      </w:r>
    </w:p>
    <w:p w14:paraId="37B088A7" w14:textId="77777777" w:rsidR="00846A72" w:rsidRDefault="00846A72" w:rsidP="00846A72">
      <w:pPr>
        <w:spacing w:line="200" w:lineRule="exact"/>
        <w:rPr>
          <w:rFonts w:ascii="Times New Roman" w:eastAsia="Times New Roman" w:hAnsi="Times New Roman"/>
          <w:sz w:val="24"/>
        </w:rPr>
      </w:pPr>
    </w:p>
    <w:p w14:paraId="0A773F85" w14:textId="77777777" w:rsidR="00846A72" w:rsidRDefault="00846A72" w:rsidP="00846A72">
      <w:pPr>
        <w:spacing w:line="355" w:lineRule="exact"/>
        <w:rPr>
          <w:rFonts w:ascii="Times New Roman" w:eastAsia="Times New Roman" w:hAnsi="Times New Roman"/>
          <w:sz w:val="24"/>
        </w:rPr>
      </w:pPr>
    </w:p>
    <w:p w14:paraId="1BCC846C" w14:textId="77777777" w:rsidR="00846A72" w:rsidRDefault="00846A72" w:rsidP="00846A72">
      <w:pPr>
        <w:spacing w:line="0" w:lineRule="atLeast"/>
        <w:jc w:val="center"/>
        <w:rPr>
          <w:b/>
          <w:sz w:val="24"/>
        </w:rPr>
      </w:pPr>
      <w:r>
        <w:rPr>
          <w:b/>
          <w:sz w:val="24"/>
        </w:rPr>
        <w:t>Statement of conditions for participation in Luxembourg collective stands organized by the</w:t>
      </w:r>
    </w:p>
    <w:p w14:paraId="1000D211" w14:textId="77777777" w:rsidR="00846A72" w:rsidRDefault="00846A72" w:rsidP="00846A72">
      <w:pPr>
        <w:spacing w:line="21" w:lineRule="exact"/>
        <w:rPr>
          <w:rFonts w:ascii="Times New Roman" w:eastAsia="Times New Roman" w:hAnsi="Times New Roman"/>
          <w:sz w:val="24"/>
        </w:rPr>
      </w:pPr>
    </w:p>
    <w:p w14:paraId="0A879DD0" w14:textId="77777777" w:rsidR="00846A72" w:rsidRDefault="00846A72" w:rsidP="00846A72">
      <w:pPr>
        <w:spacing w:line="0" w:lineRule="atLeast"/>
        <w:jc w:val="center"/>
        <w:rPr>
          <w:b/>
          <w:sz w:val="24"/>
        </w:rPr>
      </w:pPr>
      <w:r>
        <w:rPr>
          <w:b/>
          <w:sz w:val="24"/>
        </w:rPr>
        <w:t xml:space="preserve">Ministry of Foreign and European Affairs, </w:t>
      </w:r>
      <w:proofErr w:type="spellStart"/>
      <w:r>
        <w:rPr>
          <w:b/>
          <w:sz w:val="24"/>
        </w:rPr>
        <w:t>Defence</w:t>
      </w:r>
      <w:proofErr w:type="spellEnd"/>
      <w:r>
        <w:rPr>
          <w:b/>
          <w:sz w:val="24"/>
        </w:rPr>
        <w:t>, Development Cooperation and Foreign Trade (below MAE) Specialized Fairs and Trade Shows Abroad</w:t>
      </w:r>
    </w:p>
    <w:p w14:paraId="0FBDDA8E" w14:textId="77777777" w:rsidR="00846A72" w:rsidRDefault="00846A72" w:rsidP="00846A72">
      <w:pPr>
        <w:spacing w:line="262" w:lineRule="exact"/>
        <w:rPr>
          <w:rFonts w:ascii="Times New Roman" w:eastAsia="Times New Roman" w:hAnsi="Times New Roman"/>
          <w:sz w:val="24"/>
        </w:rPr>
      </w:pPr>
    </w:p>
    <w:p w14:paraId="01763096" w14:textId="77777777" w:rsidR="00846A72" w:rsidRDefault="00846A72" w:rsidP="00846A72">
      <w:pPr>
        <w:numPr>
          <w:ilvl w:val="0"/>
          <w:numId w:val="1"/>
        </w:numPr>
        <w:tabs>
          <w:tab w:val="left" w:pos="720"/>
        </w:tabs>
        <w:spacing w:line="0" w:lineRule="atLeast"/>
        <w:ind w:left="720" w:hanging="360"/>
        <w:rPr>
          <w:sz w:val="22"/>
        </w:rPr>
      </w:pPr>
      <w:r>
        <w:rPr>
          <w:sz w:val="22"/>
        </w:rPr>
        <w:t>General conditions of admission as exhibitor:</w:t>
      </w:r>
    </w:p>
    <w:p w14:paraId="2E32AA68" w14:textId="77777777" w:rsidR="00846A72" w:rsidRDefault="00846A72" w:rsidP="00846A72">
      <w:pPr>
        <w:spacing w:line="279" w:lineRule="exact"/>
        <w:rPr>
          <w:sz w:val="22"/>
        </w:rPr>
      </w:pPr>
    </w:p>
    <w:p w14:paraId="68C02F4C" w14:textId="77777777" w:rsidR="00846A72" w:rsidRDefault="00846A72" w:rsidP="00846A72">
      <w:pPr>
        <w:numPr>
          <w:ilvl w:val="1"/>
          <w:numId w:val="1"/>
        </w:numPr>
        <w:tabs>
          <w:tab w:val="left" w:pos="1080"/>
        </w:tabs>
        <w:spacing w:after="120" w:line="227" w:lineRule="auto"/>
        <w:ind w:left="1080" w:hanging="360"/>
        <w:rPr>
          <w:sz w:val="22"/>
        </w:rPr>
      </w:pPr>
      <w:r>
        <w:rPr>
          <w:sz w:val="22"/>
        </w:rPr>
        <w:t xml:space="preserve">The applicant company must be in possession of a commercial license - in the event of a first participation, a copy of this authorization </w:t>
      </w:r>
      <w:proofErr w:type="gramStart"/>
      <w:r>
        <w:rPr>
          <w:sz w:val="22"/>
        </w:rPr>
        <w:t>has to</w:t>
      </w:r>
      <w:proofErr w:type="gramEnd"/>
      <w:r>
        <w:rPr>
          <w:sz w:val="22"/>
        </w:rPr>
        <w:t xml:space="preserve"> be sent along with registration form n ° 1.</w:t>
      </w:r>
    </w:p>
    <w:p w14:paraId="2FE361F2" w14:textId="77777777" w:rsidR="00846A72" w:rsidRDefault="00846A72" w:rsidP="00846A72">
      <w:pPr>
        <w:spacing w:after="120" w:line="72" w:lineRule="exact"/>
        <w:rPr>
          <w:sz w:val="22"/>
        </w:rPr>
      </w:pPr>
    </w:p>
    <w:p w14:paraId="41314F4A" w14:textId="77777777" w:rsidR="00846A72" w:rsidRPr="00321207" w:rsidRDefault="00846A72" w:rsidP="00846A72">
      <w:pPr>
        <w:numPr>
          <w:ilvl w:val="1"/>
          <w:numId w:val="1"/>
        </w:numPr>
        <w:tabs>
          <w:tab w:val="left" w:pos="1080"/>
        </w:tabs>
        <w:spacing w:after="120" w:line="259" w:lineRule="auto"/>
        <w:ind w:left="1080" w:hanging="360"/>
        <w:jc w:val="both"/>
        <w:rPr>
          <w:sz w:val="21"/>
        </w:rPr>
      </w:pPr>
      <w:r>
        <w:rPr>
          <w:sz w:val="21"/>
        </w:rPr>
        <w:t>The products / technologies / services presented on the collective stands organized by the MAE must be of Luxembourg origin, i.e. manufactured / developed in the Grand Duchy. Companies exclusively active in trade are not allowed as exhibitors, unless they can prove that they ensure the general import at European level of all the products on display.</w:t>
      </w:r>
    </w:p>
    <w:p w14:paraId="1BBBA393" w14:textId="77777777" w:rsidR="00846A72" w:rsidRDefault="00846A72" w:rsidP="00846A72">
      <w:pPr>
        <w:spacing w:after="120" w:line="19" w:lineRule="exact"/>
        <w:rPr>
          <w:sz w:val="21"/>
        </w:rPr>
      </w:pPr>
    </w:p>
    <w:p w14:paraId="087F0224" w14:textId="77777777" w:rsidR="00846A72" w:rsidRPr="00321207" w:rsidRDefault="00846A72" w:rsidP="00846A72">
      <w:pPr>
        <w:numPr>
          <w:ilvl w:val="1"/>
          <w:numId w:val="1"/>
        </w:numPr>
        <w:tabs>
          <w:tab w:val="left" w:pos="1080"/>
        </w:tabs>
        <w:spacing w:after="120" w:line="180" w:lineRule="auto"/>
        <w:ind w:left="1080" w:right="760" w:hanging="360"/>
        <w:rPr>
          <w:sz w:val="21"/>
          <w:szCs w:val="21"/>
        </w:rPr>
      </w:pPr>
      <w:r w:rsidRPr="00321207">
        <w:rPr>
          <w:sz w:val="21"/>
          <w:szCs w:val="21"/>
        </w:rPr>
        <w:t>To be financially sound i.e. publication of balance sheets; having a positive equity position; being in a financially viable position.</w:t>
      </w:r>
    </w:p>
    <w:p w14:paraId="0B81DA5A" w14:textId="77777777" w:rsidR="00846A72" w:rsidRDefault="00846A72" w:rsidP="00846A72">
      <w:pPr>
        <w:spacing w:after="120" w:line="24" w:lineRule="exact"/>
      </w:pPr>
    </w:p>
    <w:p w14:paraId="0FA255D0" w14:textId="77777777" w:rsidR="00846A72" w:rsidRDefault="00846A72" w:rsidP="00846A72">
      <w:pPr>
        <w:numPr>
          <w:ilvl w:val="1"/>
          <w:numId w:val="1"/>
        </w:numPr>
        <w:tabs>
          <w:tab w:val="left" w:pos="1080"/>
        </w:tabs>
        <w:spacing w:after="120" w:line="0" w:lineRule="atLeast"/>
        <w:ind w:left="1080" w:hanging="360"/>
        <w:rPr>
          <w:sz w:val="22"/>
        </w:rPr>
      </w:pPr>
      <w:r>
        <w:rPr>
          <w:sz w:val="22"/>
        </w:rPr>
        <w:t>Must have a minimum staff of two.</w:t>
      </w:r>
    </w:p>
    <w:p w14:paraId="61C2B8FE" w14:textId="77777777" w:rsidR="00846A72" w:rsidRDefault="00846A72" w:rsidP="00846A72">
      <w:pPr>
        <w:spacing w:after="120" w:line="19" w:lineRule="exact"/>
        <w:rPr>
          <w:sz w:val="22"/>
        </w:rPr>
      </w:pPr>
    </w:p>
    <w:p w14:paraId="063FDD77" w14:textId="77777777" w:rsidR="00846A72" w:rsidRDefault="00846A72" w:rsidP="00846A72">
      <w:pPr>
        <w:numPr>
          <w:ilvl w:val="1"/>
          <w:numId w:val="1"/>
        </w:numPr>
        <w:tabs>
          <w:tab w:val="left" w:pos="1080"/>
        </w:tabs>
        <w:spacing w:after="120" w:line="0" w:lineRule="atLeast"/>
        <w:ind w:left="1080" w:hanging="360"/>
        <w:rPr>
          <w:sz w:val="22"/>
        </w:rPr>
      </w:pPr>
      <w:r>
        <w:rPr>
          <w:sz w:val="22"/>
        </w:rPr>
        <w:t>Represents a considerable added value to the Luxembourg economy.</w:t>
      </w:r>
    </w:p>
    <w:p w14:paraId="5B1FD500" w14:textId="77777777" w:rsidR="00846A72" w:rsidRDefault="00846A72" w:rsidP="00846A72">
      <w:pPr>
        <w:spacing w:after="120" w:line="70" w:lineRule="exact"/>
        <w:rPr>
          <w:sz w:val="22"/>
        </w:rPr>
      </w:pPr>
    </w:p>
    <w:p w14:paraId="6F3B58BC" w14:textId="77777777" w:rsidR="00846A72" w:rsidRDefault="00846A72" w:rsidP="00846A72">
      <w:pPr>
        <w:numPr>
          <w:ilvl w:val="1"/>
          <w:numId w:val="1"/>
        </w:numPr>
        <w:tabs>
          <w:tab w:val="left" w:pos="1080"/>
        </w:tabs>
        <w:spacing w:after="120" w:line="227" w:lineRule="auto"/>
        <w:ind w:left="1080" w:right="200" w:hanging="360"/>
        <w:rPr>
          <w:sz w:val="22"/>
        </w:rPr>
      </w:pPr>
      <w:r>
        <w:rPr>
          <w:sz w:val="22"/>
        </w:rPr>
        <w:t>Ensures to comply with the law of 27 June 2018 on export control and the regulation of 14 December 2018 on export control, as amended.</w:t>
      </w:r>
    </w:p>
    <w:p w14:paraId="52C8082D" w14:textId="77777777" w:rsidR="00846A72" w:rsidRDefault="00846A72" w:rsidP="00846A72">
      <w:pPr>
        <w:spacing w:line="338" w:lineRule="exact"/>
        <w:rPr>
          <w:sz w:val="22"/>
        </w:rPr>
      </w:pPr>
    </w:p>
    <w:p w14:paraId="5EEE8521" w14:textId="77777777" w:rsidR="00846A72" w:rsidRDefault="00846A72" w:rsidP="00846A72">
      <w:pPr>
        <w:numPr>
          <w:ilvl w:val="0"/>
          <w:numId w:val="1"/>
        </w:numPr>
        <w:tabs>
          <w:tab w:val="left" w:pos="720"/>
        </w:tabs>
        <w:spacing w:line="0" w:lineRule="atLeast"/>
        <w:ind w:left="720" w:hanging="360"/>
        <w:rPr>
          <w:sz w:val="22"/>
        </w:rPr>
      </w:pPr>
      <w:r>
        <w:rPr>
          <w:sz w:val="22"/>
        </w:rPr>
        <w:t>Special conditions of participation:</w:t>
      </w:r>
    </w:p>
    <w:p w14:paraId="7F763A92" w14:textId="77777777" w:rsidR="00846A72" w:rsidRDefault="00846A72" w:rsidP="00846A72">
      <w:pPr>
        <w:spacing w:line="230" w:lineRule="exact"/>
        <w:rPr>
          <w:sz w:val="22"/>
        </w:rPr>
      </w:pPr>
    </w:p>
    <w:p w14:paraId="75B1EF58" w14:textId="77777777" w:rsidR="00846A72" w:rsidRDefault="00846A72" w:rsidP="00846A72">
      <w:pPr>
        <w:numPr>
          <w:ilvl w:val="1"/>
          <w:numId w:val="1"/>
        </w:numPr>
        <w:tabs>
          <w:tab w:val="left" w:pos="1080"/>
        </w:tabs>
        <w:spacing w:line="0" w:lineRule="atLeast"/>
        <w:ind w:left="1080" w:hanging="360"/>
        <w:rPr>
          <w:sz w:val="22"/>
        </w:rPr>
      </w:pPr>
      <w:r>
        <w:rPr>
          <w:sz w:val="22"/>
        </w:rPr>
        <w:t>Payment of the invoice for the financial flat-rate contribution</w:t>
      </w:r>
    </w:p>
    <w:p w14:paraId="4637E9FF" w14:textId="77777777" w:rsidR="00846A72" w:rsidRDefault="00846A72" w:rsidP="00846A72">
      <w:pPr>
        <w:spacing w:line="180" w:lineRule="exact"/>
        <w:rPr>
          <w:rFonts w:ascii="Times New Roman" w:eastAsia="Times New Roman" w:hAnsi="Times New Roman"/>
          <w:sz w:val="24"/>
        </w:rPr>
      </w:pPr>
    </w:p>
    <w:p w14:paraId="6A18AC2F" w14:textId="77777777" w:rsidR="00846A72" w:rsidRDefault="00846A72" w:rsidP="00846A72">
      <w:pPr>
        <w:spacing w:line="0" w:lineRule="atLeast"/>
        <w:rPr>
          <w:sz w:val="22"/>
        </w:rPr>
      </w:pPr>
      <w:r>
        <w:rPr>
          <w:sz w:val="22"/>
        </w:rPr>
        <w:t>This contribution is non-refundable if the exhibitor cancels his participation or if the MAE has:</w:t>
      </w:r>
    </w:p>
    <w:p w14:paraId="4F926B07" w14:textId="77777777" w:rsidR="00846A72" w:rsidRDefault="00846A72" w:rsidP="00846A72">
      <w:pPr>
        <w:spacing w:line="185" w:lineRule="exact"/>
        <w:rPr>
          <w:rFonts w:ascii="Times New Roman" w:eastAsia="Times New Roman" w:hAnsi="Times New Roman"/>
          <w:sz w:val="24"/>
        </w:rPr>
      </w:pPr>
    </w:p>
    <w:p w14:paraId="3F20D139" w14:textId="77777777" w:rsidR="00846A72" w:rsidRDefault="00846A72" w:rsidP="00846A72">
      <w:pPr>
        <w:numPr>
          <w:ilvl w:val="0"/>
          <w:numId w:val="2"/>
        </w:numPr>
        <w:tabs>
          <w:tab w:val="left" w:pos="720"/>
        </w:tabs>
        <w:spacing w:line="0" w:lineRule="atLeast"/>
        <w:ind w:left="720" w:hanging="360"/>
        <w:rPr>
          <w:sz w:val="22"/>
        </w:rPr>
      </w:pPr>
      <w:r>
        <w:rPr>
          <w:sz w:val="22"/>
        </w:rPr>
        <w:t xml:space="preserve">Reserved a </w:t>
      </w:r>
      <w:proofErr w:type="gramStart"/>
      <w:r>
        <w:rPr>
          <w:sz w:val="22"/>
        </w:rPr>
        <w:t>location</w:t>
      </w:r>
      <w:proofErr w:type="gramEnd"/>
    </w:p>
    <w:p w14:paraId="69073DD6" w14:textId="77777777" w:rsidR="00846A72" w:rsidRDefault="00846A72" w:rsidP="00846A72">
      <w:pPr>
        <w:spacing w:line="17" w:lineRule="exact"/>
        <w:rPr>
          <w:sz w:val="22"/>
        </w:rPr>
      </w:pPr>
    </w:p>
    <w:p w14:paraId="55DC3B8B" w14:textId="77777777" w:rsidR="00846A72" w:rsidRDefault="00846A72" w:rsidP="00846A72">
      <w:pPr>
        <w:numPr>
          <w:ilvl w:val="0"/>
          <w:numId w:val="2"/>
        </w:numPr>
        <w:tabs>
          <w:tab w:val="left" w:pos="720"/>
        </w:tabs>
        <w:spacing w:line="0" w:lineRule="atLeast"/>
        <w:ind w:left="720" w:hanging="360"/>
        <w:rPr>
          <w:sz w:val="22"/>
        </w:rPr>
      </w:pPr>
      <w:r>
        <w:rPr>
          <w:sz w:val="22"/>
        </w:rPr>
        <w:t xml:space="preserve">Committed to construction and stand construction </w:t>
      </w:r>
      <w:proofErr w:type="gramStart"/>
      <w:r>
        <w:rPr>
          <w:sz w:val="22"/>
        </w:rPr>
        <w:t>costs</w:t>
      </w:r>
      <w:proofErr w:type="gramEnd"/>
    </w:p>
    <w:p w14:paraId="7CE5268C" w14:textId="77777777" w:rsidR="00846A72" w:rsidRDefault="00846A72" w:rsidP="00846A72">
      <w:pPr>
        <w:spacing w:line="235" w:lineRule="exact"/>
        <w:rPr>
          <w:rFonts w:ascii="Times New Roman" w:eastAsia="Times New Roman" w:hAnsi="Times New Roman"/>
          <w:sz w:val="24"/>
        </w:rPr>
      </w:pPr>
    </w:p>
    <w:p w14:paraId="7E04CE01" w14:textId="77777777" w:rsidR="00846A72" w:rsidRDefault="00846A72" w:rsidP="00846A72">
      <w:pPr>
        <w:spacing w:line="226" w:lineRule="auto"/>
        <w:rPr>
          <w:sz w:val="22"/>
        </w:rPr>
      </w:pPr>
      <w:r>
        <w:rPr>
          <w:sz w:val="22"/>
        </w:rPr>
        <w:t>Without prejudice to the above, all additional costs related to the cancellation will be entirely borne by the exhibitor.</w:t>
      </w:r>
    </w:p>
    <w:p w14:paraId="195FF407" w14:textId="77777777" w:rsidR="00846A72" w:rsidRDefault="00846A72" w:rsidP="00846A72">
      <w:pPr>
        <w:spacing w:line="182" w:lineRule="exact"/>
        <w:rPr>
          <w:rFonts w:ascii="Times New Roman" w:eastAsia="Times New Roman" w:hAnsi="Times New Roman"/>
          <w:sz w:val="24"/>
        </w:rPr>
      </w:pPr>
    </w:p>
    <w:p w14:paraId="2D937F46" w14:textId="77777777" w:rsidR="00846A72" w:rsidRDefault="00846A72" w:rsidP="00846A72">
      <w:pPr>
        <w:spacing w:line="182" w:lineRule="exact"/>
        <w:rPr>
          <w:rFonts w:ascii="Times New Roman" w:eastAsia="Times New Roman" w:hAnsi="Times New Roman"/>
          <w:sz w:val="24"/>
        </w:rPr>
      </w:pPr>
    </w:p>
    <w:p w14:paraId="53C92BE2" w14:textId="77777777" w:rsidR="00846A72" w:rsidRDefault="00846A72" w:rsidP="00846A72">
      <w:pPr>
        <w:spacing w:line="182" w:lineRule="exact"/>
        <w:rPr>
          <w:rFonts w:ascii="Times New Roman" w:eastAsia="Times New Roman" w:hAnsi="Times New Roman"/>
          <w:sz w:val="24"/>
        </w:rPr>
      </w:pPr>
    </w:p>
    <w:p w14:paraId="1121672B" w14:textId="77777777" w:rsidR="00846A72" w:rsidRDefault="00846A72" w:rsidP="00846A72">
      <w:pPr>
        <w:spacing w:line="0" w:lineRule="atLeast"/>
        <w:rPr>
          <w:sz w:val="22"/>
        </w:rPr>
      </w:pPr>
      <w:r>
        <w:rPr>
          <w:sz w:val="22"/>
        </w:rPr>
        <w:t>The financial flat rate contribution includes:</w:t>
      </w:r>
    </w:p>
    <w:p w14:paraId="497FA00E" w14:textId="77777777" w:rsidR="00846A72" w:rsidRDefault="00846A72" w:rsidP="00846A72">
      <w:pPr>
        <w:spacing w:line="148" w:lineRule="exact"/>
        <w:rPr>
          <w:rFonts w:ascii="Times New Roman" w:eastAsia="Times New Roman" w:hAnsi="Times New Roman"/>
          <w:sz w:val="24"/>
        </w:rPr>
      </w:pPr>
    </w:p>
    <w:p w14:paraId="402C2535" w14:textId="77777777" w:rsidR="00846A72" w:rsidRDefault="00846A72" w:rsidP="00846A72">
      <w:pPr>
        <w:spacing w:line="0" w:lineRule="atLeast"/>
        <w:ind w:left="360"/>
        <w:rPr>
          <w:sz w:val="22"/>
        </w:rPr>
      </w:pPr>
      <w:r>
        <w:rPr>
          <w:sz w:val="22"/>
        </w:rPr>
        <w:t>the rental and planning costs of a standard module of 20m</w:t>
      </w:r>
      <w:r>
        <w:rPr>
          <w:sz w:val="27"/>
          <w:vertAlign w:val="superscript"/>
        </w:rPr>
        <w:t>2</w:t>
      </w:r>
      <w:r>
        <w:rPr>
          <w:sz w:val="22"/>
        </w:rPr>
        <w:t xml:space="preserve"> at </w:t>
      </w:r>
      <w:proofErr w:type="gramStart"/>
      <w:r>
        <w:rPr>
          <w:sz w:val="22"/>
        </w:rPr>
        <w:t>most;</w:t>
      </w:r>
      <w:proofErr w:type="gramEnd"/>
    </w:p>
    <w:p w14:paraId="524EAAFA" w14:textId="77777777" w:rsidR="00846A72" w:rsidRDefault="00846A72" w:rsidP="00846A72">
      <w:pPr>
        <w:spacing w:line="0" w:lineRule="atLeast"/>
        <w:rPr>
          <w:sz w:val="22"/>
        </w:rPr>
      </w:pPr>
    </w:p>
    <w:p w14:paraId="789C4036" w14:textId="77777777" w:rsidR="00846A72" w:rsidRDefault="00846A72" w:rsidP="00846A72">
      <w:pPr>
        <w:spacing w:line="57" w:lineRule="exact"/>
        <w:rPr>
          <w:rFonts w:ascii="Times New Roman" w:eastAsia="Times New Roman" w:hAnsi="Times New Roman"/>
          <w:sz w:val="24"/>
        </w:rPr>
      </w:pPr>
    </w:p>
    <w:p w14:paraId="1D584F48" w14:textId="77777777" w:rsidR="00846A72" w:rsidRDefault="00846A72" w:rsidP="00846A72">
      <w:pPr>
        <w:numPr>
          <w:ilvl w:val="0"/>
          <w:numId w:val="3"/>
        </w:numPr>
        <w:tabs>
          <w:tab w:val="left" w:pos="1440"/>
        </w:tabs>
        <w:spacing w:line="224" w:lineRule="auto"/>
        <w:ind w:left="1440" w:hanging="360"/>
        <w:rPr>
          <w:rFonts w:ascii="Courier New" w:eastAsia="Courier New" w:hAnsi="Courier New"/>
          <w:sz w:val="22"/>
        </w:rPr>
      </w:pPr>
      <w:r>
        <w:rPr>
          <w:sz w:val="22"/>
        </w:rPr>
        <w:t>N.B. Upon request, to be submitted simultaneously with the registration form, the exhibitor can obtain, if available, a bigger stand. The surface exceeding the above</w:t>
      </w:r>
    </w:p>
    <w:p w14:paraId="5FE633C7" w14:textId="77777777" w:rsidR="00846A72" w:rsidRDefault="00846A72" w:rsidP="00846A72">
      <w:pPr>
        <w:spacing w:line="212" w:lineRule="auto"/>
        <w:ind w:left="1440"/>
        <w:rPr>
          <w:sz w:val="22"/>
        </w:rPr>
      </w:pPr>
      <w:r>
        <w:rPr>
          <w:sz w:val="22"/>
        </w:rPr>
        <w:t xml:space="preserve">standard module surface will be charged to the exhibitor after the fair at a price per </w:t>
      </w:r>
      <w:proofErr w:type="gramStart"/>
      <w:r>
        <w:rPr>
          <w:sz w:val="22"/>
        </w:rPr>
        <w:t>m</w:t>
      </w:r>
      <w:r>
        <w:rPr>
          <w:sz w:val="27"/>
          <w:vertAlign w:val="superscript"/>
        </w:rPr>
        <w:t>2</w:t>
      </w:r>
      <w:proofErr w:type="gramEnd"/>
    </w:p>
    <w:p w14:paraId="1D5D4318" w14:textId="77777777" w:rsidR="00846A72" w:rsidRDefault="00846A72" w:rsidP="00846A72">
      <w:pPr>
        <w:spacing w:line="212" w:lineRule="auto"/>
        <w:ind w:left="1440"/>
        <w:rPr>
          <w:sz w:val="22"/>
        </w:rPr>
      </w:pPr>
      <w:r>
        <w:rPr>
          <w:sz w:val="22"/>
        </w:rPr>
        <w:t>(rental price of floor space and construction cost of the stand) certain related costs, e.g. technical connections (water, electricity, etc.</w:t>
      </w:r>
      <w:proofErr w:type="gramStart"/>
      <w:r>
        <w:rPr>
          <w:sz w:val="22"/>
        </w:rPr>
        <w:t>);</w:t>
      </w:r>
      <w:proofErr w:type="gramEnd"/>
    </w:p>
    <w:p w14:paraId="1DE3B57B" w14:textId="77777777" w:rsidR="00846A72" w:rsidRDefault="00846A72" w:rsidP="00846A72">
      <w:pPr>
        <w:spacing w:line="212" w:lineRule="auto"/>
        <w:rPr>
          <w:sz w:val="22"/>
        </w:rPr>
      </w:pPr>
    </w:p>
    <w:p w14:paraId="43B5E748" w14:textId="77777777" w:rsidR="00846A72" w:rsidRDefault="00846A72" w:rsidP="00846A72">
      <w:pPr>
        <w:spacing w:line="212" w:lineRule="auto"/>
        <w:rPr>
          <w:sz w:val="22"/>
        </w:rPr>
      </w:pPr>
    </w:p>
    <w:p w14:paraId="34768674" w14:textId="0803BE2E" w:rsidR="00846A72" w:rsidRDefault="00846A72" w:rsidP="00846A72">
      <w:pPr>
        <w:spacing w:line="226" w:lineRule="auto"/>
        <w:rPr>
          <w:sz w:val="22"/>
        </w:rPr>
      </w:pPr>
      <w:r>
        <w:rPr>
          <w:sz w:val="22"/>
        </w:rPr>
        <w:t>All other costs resulting from orders that the exhibitor might place in the context of his participation will be borne by him and charged directly either by the service providers or by the MAE.</w:t>
      </w:r>
    </w:p>
    <w:p w14:paraId="4210ED0D" w14:textId="77777777" w:rsidR="00846A72" w:rsidRDefault="00846A72" w:rsidP="00846A72">
      <w:pPr>
        <w:spacing w:line="364" w:lineRule="exact"/>
        <w:rPr>
          <w:rFonts w:ascii="Times New Roman" w:eastAsia="Times New Roman" w:hAnsi="Times New Roman"/>
        </w:rPr>
      </w:pPr>
    </w:p>
    <w:p w14:paraId="1E62EE8E" w14:textId="77777777" w:rsidR="00846A72" w:rsidRDefault="00846A72" w:rsidP="00846A72">
      <w:pPr>
        <w:spacing w:line="227" w:lineRule="auto"/>
        <w:rPr>
          <w:sz w:val="22"/>
        </w:rPr>
      </w:pPr>
      <w:r>
        <w:rPr>
          <w:sz w:val="22"/>
        </w:rPr>
        <w:t>These include, but are not limited to, listings in the fair catalog, technical communication connectors, parking cards, invitation cards, advertising material, etc.</w:t>
      </w:r>
    </w:p>
    <w:p w14:paraId="54668777" w14:textId="77777777" w:rsidR="00846A72" w:rsidRDefault="00846A72" w:rsidP="00846A72">
      <w:pPr>
        <w:spacing w:line="200" w:lineRule="exact"/>
        <w:rPr>
          <w:rFonts w:ascii="Times New Roman" w:eastAsia="Times New Roman" w:hAnsi="Times New Roman"/>
        </w:rPr>
      </w:pPr>
    </w:p>
    <w:p w14:paraId="7C67BDD0" w14:textId="77777777" w:rsidR="00846A72" w:rsidRDefault="00846A72" w:rsidP="00846A72">
      <w:pPr>
        <w:spacing w:line="270" w:lineRule="exact"/>
        <w:rPr>
          <w:rFonts w:ascii="Times New Roman" w:eastAsia="Times New Roman" w:hAnsi="Times New Roman"/>
        </w:rPr>
      </w:pPr>
    </w:p>
    <w:p w14:paraId="32E9CFBF" w14:textId="77777777" w:rsidR="00846A72" w:rsidRDefault="00846A72" w:rsidP="00846A72">
      <w:pPr>
        <w:numPr>
          <w:ilvl w:val="0"/>
          <w:numId w:val="5"/>
        </w:numPr>
        <w:tabs>
          <w:tab w:val="left" w:pos="240"/>
        </w:tabs>
        <w:spacing w:line="0" w:lineRule="atLeast"/>
        <w:rPr>
          <w:sz w:val="22"/>
        </w:rPr>
      </w:pPr>
      <w:r>
        <w:rPr>
          <w:sz w:val="22"/>
        </w:rPr>
        <w:t>The exhibitor must be in possession of the following insurance:</w:t>
      </w:r>
    </w:p>
    <w:p w14:paraId="4ED39D8A" w14:textId="77777777" w:rsidR="00846A72" w:rsidRDefault="00846A72" w:rsidP="00846A72">
      <w:pPr>
        <w:spacing w:line="138" w:lineRule="exact"/>
        <w:rPr>
          <w:sz w:val="22"/>
        </w:rPr>
      </w:pPr>
    </w:p>
    <w:p w14:paraId="274F9818" w14:textId="77777777" w:rsidR="00846A72" w:rsidRDefault="00846A72" w:rsidP="00846A72">
      <w:pPr>
        <w:spacing w:line="0" w:lineRule="atLeast"/>
        <w:ind w:left="360"/>
        <w:rPr>
          <w:sz w:val="22"/>
        </w:rPr>
      </w:pPr>
      <w:r>
        <w:rPr>
          <w:sz w:val="22"/>
        </w:rPr>
        <w:t>Liability coverage for damage or harm that may be caused during the event by its staff on the</w:t>
      </w:r>
    </w:p>
    <w:p w14:paraId="338A85D8" w14:textId="77777777" w:rsidR="00846A72" w:rsidRDefault="00846A72" w:rsidP="00846A72">
      <w:pPr>
        <w:spacing w:line="232" w:lineRule="auto"/>
        <w:ind w:left="360" w:right="1680"/>
        <w:rPr>
          <w:sz w:val="22"/>
        </w:rPr>
      </w:pPr>
      <w:r>
        <w:rPr>
          <w:sz w:val="22"/>
        </w:rPr>
        <w:t xml:space="preserve">stand to third parties and during mounting and dismounting of the </w:t>
      </w:r>
      <w:proofErr w:type="gramStart"/>
      <w:r>
        <w:rPr>
          <w:sz w:val="22"/>
        </w:rPr>
        <w:t>exhibition;</w:t>
      </w:r>
      <w:proofErr w:type="gramEnd"/>
      <w:r>
        <w:rPr>
          <w:sz w:val="22"/>
        </w:rPr>
        <w:t xml:space="preserve"> </w:t>
      </w:r>
    </w:p>
    <w:p w14:paraId="643D80FD" w14:textId="77777777" w:rsidR="00846A72" w:rsidRDefault="00846A72" w:rsidP="00846A72">
      <w:pPr>
        <w:spacing w:line="232" w:lineRule="auto"/>
        <w:ind w:left="360" w:right="1680"/>
        <w:rPr>
          <w:sz w:val="22"/>
        </w:rPr>
      </w:pPr>
    </w:p>
    <w:p w14:paraId="268A5BBA" w14:textId="77777777" w:rsidR="00846A72" w:rsidRDefault="00846A72" w:rsidP="00846A72">
      <w:pPr>
        <w:spacing w:line="232" w:lineRule="auto"/>
        <w:ind w:left="360" w:right="1680"/>
        <w:rPr>
          <w:sz w:val="22"/>
        </w:rPr>
      </w:pPr>
      <w:r>
        <w:rPr>
          <w:sz w:val="22"/>
        </w:rPr>
        <w:t xml:space="preserve">Accidents for the guarantee of damages its personnel could be victim </w:t>
      </w:r>
      <w:proofErr w:type="gramStart"/>
      <w:r>
        <w:rPr>
          <w:sz w:val="22"/>
        </w:rPr>
        <w:t>of;</w:t>
      </w:r>
      <w:proofErr w:type="gramEnd"/>
    </w:p>
    <w:p w14:paraId="24EDC50A" w14:textId="77777777" w:rsidR="00846A72" w:rsidRDefault="00846A72" w:rsidP="00846A72">
      <w:pPr>
        <w:spacing w:line="232" w:lineRule="auto"/>
        <w:ind w:left="360" w:right="1680"/>
        <w:rPr>
          <w:sz w:val="22"/>
        </w:rPr>
      </w:pPr>
    </w:p>
    <w:p w14:paraId="50ACDBA3" w14:textId="77777777" w:rsidR="00846A72" w:rsidRDefault="00846A72" w:rsidP="00846A72">
      <w:pPr>
        <w:spacing w:line="200" w:lineRule="auto"/>
        <w:ind w:left="360"/>
        <w:rPr>
          <w:sz w:val="22"/>
        </w:rPr>
      </w:pPr>
      <w:r>
        <w:rPr>
          <w:sz w:val="22"/>
        </w:rPr>
        <w:t>All risks covering the damage that may be caused to its exposed equipment.</w:t>
      </w:r>
    </w:p>
    <w:p w14:paraId="1272CF3D" w14:textId="77777777" w:rsidR="00846A72" w:rsidRDefault="00846A72" w:rsidP="00846A72">
      <w:pPr>
        <w:spacing w:line="268" w:lineRule="exact"/>
        <w:rPr>
          <w:rFonts w:ascii="Times New Roman" w:eastAsia="Times New Roman" w:hAnsi="Times New Roman"/>
        </w:rPr>
      </w:pPr>
    </w:p>
    <w:p w14:paraId="59851486" w14:textId="77777777" w:rsidR="00846A72" w:rsidRDefault="00846A72" w:rsidP="00846A72">
      <w:pPr>
        <w:spacing w:line="0" w:lineRule="atLeast"/>
        <w:rPr>
          <w:sz w:val="22"/>
        </w:rPr>
      </w:pPr>
      <w:r>
        <w:rPr>
          <w:sz w:val="22"/>
        </w:rPr>
        <w:t>These insurances include a waiver of the right to appeal against the MAE.</w:t>
      </w:r>
    </w:p>
    <w:p w14:paraId="61714FD0" w14:textId="77777777" w:rsidR="00846A72" w:rsidRDefault="00846A72" w:rsidP="00846A72">
      <w:pPr>
        <w:spacing w:line="359" w:lineRule="exact"/>
        <w:rPr>
          <w:rFonts w:ascii="Times New Roman" w:eastAsia="Times New Roman" w:hAnsi="Times New Roman"/>
        </w:rPr>
      </w:pPr>
    </w:p>
    <w:p w14:paraId="530FD76C" w14:textId="77777777" w:rsidR="00846A72" w:rsidRDefault="00846A72" w:rsidP="00846A72">
      <w:pPr>
        <w:numPr>
          <w:ilvl w:val="0"/>
          <w:numId w:val="4"/>
        </w:numPr>
        <w:spacing w:line="229" w:lineRule="auto"/>
        <w:jc w:val="both"/>
        <w:rPr>
          <w:sz w:val="22"/>
        </w:rPr>
      </w:pPr>
      <w:r>
        <w:rPr>
          <w:sz w:val="22"/>
        </w:rPr>
        <w:t xml:space="preserve">Participation in the Luxembourg collective stand implies the permanent presence of at least </w:t>
      </w:r>
      <w:proofErr w:type="gramStart"/>
      <w:r>
        <w:rPr>
          <w:sz w:val="22"/>
        </w:rPr>
        <w:t>one  of</w:t>
      </w:r>
      <w:proofErr w:type="gramEnd"/>
      <w:r>
        <w:rPr>
          <w:sz w:val="22"/>
        </w:rPr>
        <w:t xml:space="preserve"> the company’s delegates throughout the duration of the event. This presence also needs to be ensured in the eve of the opening of the fair for the mounting of the company’s exhibition section as well as for the closing night for the repackaging of his exhibition material.</w:t>
      </w:r>
    </w:p>
    <w:p w14:paraId="21C8238D" w14:textId="77777777" w:rsidR="00846A72" w:rsidRDefault="00846A72" w:rsidP="00846A72">
      <w:pPr>
        <w:spacing w:line="261" w:lineRule="exact"/>
        <w:rPr>
          <w:rFonts w:ascii="Times New Roman" w:eastAsia="Times New Roman" w:hAnsi="Times New Roman"/>
        </w:rPr>
      </w:pPr>
    </w:p>
    <w:p w14:paraId="572BF72D" w14:textId="2D7EEA7D" w:rsidR="00CD7B14" w:rsidRDefault="00846A72" w:rsidP="007D0CFF">
      <w:pPr>
        <w:spacing w:line="0" w:lineRule="atLeast"/>
        <w:jc w:val="both"/>
      </w:pPr>
      <w:r>
        <w:rPr>
          <w:sz w:val="21"/>
        </w:rPr>
        <w:t xml:space="preserve">Concerning the presentation of the exhibitor’s activities, it should be noted that any kind of signs (poster, roll-up, umbrella stand, etc.) are not admitted to the official collective stands, </w:t>
      </w:r>
      <w:proofErr w:type="gramStart"/>
      <w:r>
        <w:rPr>
          <w:sz w:val="21"/>
        </w:rPr>
        <w:t>in order to</w:t>
      </w:r>
      <w:proofErr w:type="gramEnd"/>
      <w:r>
        <w:rPr>
          <w:sz w:val="21"/>
        </w:rPr>
        <w:t xml:space="preserve"> preserve the uniformity of the presentation of all the exhibitors, unless an exception has been granted by the MAE. The MAE makes adequate presentation material (totem, screen, etc.) availab</w:t>
      </w:r>
      <w:r w:rsidR="007D0CFF">
        <w:rPr>
          <w:sz w:val="21"/>
        </w:rPr>
        <w:t>le</w:t>
      </w:r>
    </w:p>
    <w:sectPr w:rsidR="00CD7B14" w:rsidSect="00485ACB">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46693" w14:textId="77777777" w:rsidR="0082558B" w:rsidRDefault="0082558B" w:rsidP="00846A72">
      <w:r>
        <w:separator/>
      </w:r>
    </w:p>
  </w:endnote>
  <w:endnote w:type="continuationSeparator" w:id="0">
    <w:p w14:paraId="05068EB3" w14:textId="77777777" w:rsidR="0082558B" w:rsidRDefault="0082558B" w:rsidP="0084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7765A" w14:textId="77777777" w:rsidR="0082558B" w:rsidRDefault="0082558B" w:rsidP="00846A72">
      <w:r>
        <w:separator/>
      </w:r>
    </w:p>
  </w:footnote>
  <w:footnote w:type="continuationSeparator" w:id="0">
    <w:p w14:paraId="43733E6B" w14:textId="77777777" w:rsidR="0082558B" w:rsidRDefault="0082558B" w:rsidP="0084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25558EC"/>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EB141F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51A560C1"/>
    <w:multiLevelType w:val="hybridMultilevel"/>
    <w:tmpl w:val="D6865378"/>
    <w:lvl w:ilvl="0" w:tplc="477A9440">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675256790">
    <w:abstractNumId w:val="0"/>
  </w:num>
  <w:num w:numId="2" w16cid:durableId="1622571840">
    <w:abstractNumId w:val="1"/>
  </w:num>
  <w:num w:numId="3" w16cid:durableId="435906958">
    <w:abstractNumId w:val="2"/>
  </w:num>
  <w:num w:numId="4" w16cid:durableId="946813406">
    <w:abstractNumId w:val="3"/>
  </w:num>
  <w:num w:numId="5" w16cid:durableId="644965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72"/>
    <w:rsid w:val="00262FB1"/>
    <w:rsid w:val="00485ACB"/>
    <w:rsid w:val="007D0CFF"/>
    <w:rsid w:val="0082558B"/>
    <w:rsid w:val="00846A72"/>
    <w:rsid w:val="00CD7B14"/>
    <w:rsid w:val="00FB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B571675"/>
  <w15:chartTrackingRefBased/>
  <w15:docId w15:val="{0BF6897F-B155-499E-8726-D660CF80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A7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72"/>
    <w:pPr>
      <w:tabs>
        <w:tab w:val="center" w:pos="4680"/>
        <w:tab w:val="right" w:pos="9360"/>
      </w:tabs>
    </w:pPr>
  </w:style>
  <w:style w:type="character" w:customStyle="1" w:styleId="HeaderChar">
    <w:name w:val="Header Char"/>
    <w:basedOn w:val="DefaultParagraphFont"/>
    <w:link w:val="Header"/>
    <w:uiPriority w:val="99"/>
    <w:rsid w:val="00846A72"/>
    <w:rPr>
      <w:rFonts w:ascii="Calibri" w:eastAsia="Calibri" w:hAnsi="Calibri" w:cs="Arial"/>
      <w:sz w:val="20"/>
      <w:szCs w:val="20"/>
    </w:rPr>
  </w:style>
  <w:style w:type="paragraph" w:styleId="Footer">
    <w:name w:val="footer"/>
    <w:basedOn w:val="Normal"/>
    <w:link w:val="FooterChar"/>
    <w:uiPriority w:val="99"/>
    <w:unhideWhenUsed/>
    <w:rsid w:val="00846A72"/>
    <w:pPr>
      <w:tabs>
        <w:tab w:val="center" w:pos="4680"/>
        <w:tab w:val="right" w:pos="9360"/>
      </w:tabs>
    </w:pPr>
  </w:style>
  <w:style w:type="character" w:customStyle="1" w:styleId="FooterChar">
    <w:name w:val="Footer Char"/>
    <w:basedOn w:val="DefaultParagraphFont"/>
    <w:link w:val="Footer"/>
    <w:uiPriority w:val="99"/>
    <w:rsid w:val="00846A72"/>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4A33D43E4758408C4AA23305B79218" ma:contentTypeVersion="23" ma:contentTypeDescription="Create a new document." ma:contentTypeScope="" ma:versionID="2e21782d80f46ed2e58d0ac127ffe60d">
  <xsd:schema xmlns:xsd="http://www.w3.org/2001/XMLSchema" xmlns:xs="http://www.w3.org/2001/XMLSchema" xmlns:p="http://schemas.microsoft.com/office/2006/metadata/properties" xmlns:ns2="c45e61f0-e09e-4592-8258-d35f856bad71" xmlns:ns3="49bb4c30-3d48-485f-bc9b-e198e0968b7d" targetNamespace="http://schemas.microsoft.com/office/2006/metadata/properties" ma:root="true" ma:fieldsID="15b8746692e71c2adff308dfe227376b" ns2:_="" ns3:_="">
    <xsd:import namespace="c45e61f0-e09e-4592-8258-d35f856bad71"/>
    <xsd:import namespace="49bb4c30-3d48-485f-bc9b-e198e0968b7d"/>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lcf76f155ced4ddcb4097134ff3c332f1"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e61f0-e09e-4592-8258-d35f856bad7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lcf76f155ced4ddcb4097134ff3c332f1" ma:index="15" nillable="true" ma:displayName="Image Tags_0" ma:hidden="true" ma:internalName="lcf76f155ced4ddcb4097134ff3c332f1" ma:readOnly="fals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494ff9-3d7f-4970-92d7-daee0008949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bb4c30-3d48-485f-bc9b-e198e0968b7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e9fc471-9bcb-48de-97ed-ef51356ef96d}" ma:internalName="TaxCatchAll" ma:showField="CatchAllData" ma:web="49bb4c30-3d48-485f-bc9b-e198e0968b7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9B5CD-1A72-4E22-9DE8-5DB173F8BAE6}">
  <ds:schemaRefs>
    <ds:schemaRef ds:uri="http://schemas.microsoft.com/sharepoint/v3/contenttype/forms"/>
  </ds:schemaRefs>
</ds:datastoreItem>
</file>

<file path=customXml/itemProps2.xml><?xml version="1.0" encoding="utf-8"?>
<ds:datastoreItem xmlns:ds="http://schemas.openxmlformats.org/officeDocument/2006/customXml" ds:itemID="{95CFD1BF-4FF9-419E-8D63-8767A2A86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e61f0-e09e-4592-8258-d35f856bad71"/>
    <ds:schemaRef ds:uri="49bb4c30-3d48-485f-bc9b-e198e096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3164</Characters>
  <Application>Microsoft Office Word</Application>
  <DocSecurity>0</DocSecurity>
  <Lines>95</Lines>
  <Paragraphs>36</Paragraphs>
  <ScaleCrop>false</ScaleCrop>
  <Company>CTIE</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Kuffer</dc:creator>
  <cp:keywords/>
  <dc:description/>
  <cp:lastModifiedBy>Pertuy Juliette</cp:lastModifiedBy>
  <cp:revision>2</cp:revision>
  <dcterms:created xsi:type="dcterms:W3CDTF">2024-05-08T14:56:00Z</dcterms:created>
  <dcterms:modified xsi:type="dcterms:W3CDTF">2024-05-08T14:56:00Z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0ce79e7a26f763fa7484c39aefc278d48a145502d81a06f9c81391ee34f57a54</vt:lpwstr>
  </property>
</Properties>
</file>